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F3D" w:rsidRDefault="00433D84">
      <w:pPr>
        <w:spacing w:line="440" w:lineRule="exact"/>
        <w:jc w:val="center"/>
        <w:rPr>
          <w:rFonts w:ascii="標楷體" w:eastAsia="標楷體" w:hAnsi="標楷體"/>
          <w:b/>
          <w:sz w:val="40"/>
          <w:szCs w:val="40"/>
        </w:rPr>
      </w:pPr>
      <w:bookmarkStart w:id="0" w:name="_GoBack"/>
      <w:r>
        <w:rPr>
          <w:rFonts w:ascii="標楷體" w:eastAsia="標楷體" w:hAnsi="標楷體"/>
          <w:b/>
          <w:sz w:val="40"/>
          <w:szCs w:val="40"/>
        </w:rPr>
        <w:t>針對自殺報導的建議</w:t>
      </w:r>
    </w:p>
    <w:bookmarkEnd w:id="0"/>
    <w:p w:rsidR="00624F3D" w:rsidRDefault="00624F3D">
      <w:pPr>
        <w:spacing w:line="440" w:lineRule="exact"/>
        <w:jc w:val="center"/>
        <w:rPr>
          <w:rFonts w:ascii="標楷體" w:eastAsia="標楷體" w:hAnsi="標楷體"/>
          <w:b/>
          <w:sz w:val="40"/>
          <w:szCs w:val="40"/>
        </w:rPr>
      </w:pPr>
    </w:p>
    <w:p w:rsidR="00624F3D" w:rsidRDefault="00433D84">
      <w:pPr>
        <w:spacing w:line="440" w:lineRule="exact"/>
        <w:rPr>
          <w:rFonts w:ascii="標楷體" w:eastAsia="標楷體" w:hAnsi="標楷體"/>
          <w:b/>
          <w:sz w:val="32"/>
          <w:szCs w:val="32"/>
        </w:rPr>
      </w:pPr>
      <w:r>
        <w:rPr>
          <w:rFonts w:ascii="標楷體" w:eastAsia="標楷體" w:hAnsi="標楷體"/>
          <w:b/>
          <w:sz w:val="32"/>
          <w:szCs w:val="32"/>
        </w:rPr>
        <w:t>壹、自殺所涵蓋的重要層面：</w:t>
      </w:r>
    </w:p>
    <w:p w:rsidR="00624F3D" w:rsidRDefault="00433D84">
      <w:pPr>
        <w:spacing w:line="440" w:lineRule="exact"/>
        <w:ind w:firstLine="480"/>
        <w:jc w:val="both"/>
        <w:rPr>
          <w:rFonts w:ascii="標楷體" w:eastAsia="標楷體" w:hAnsi="標楷體"/>
          <w:sz w:val="28"/>
          <w:szCs w:val="28"/>
        </w:rPr>
      </w:pPr>
      <w:r>
        <w:rPr>
          <w:rFonts w:ascii="標楷體" w:eastAsia="標楷體" w:hAnsi="標楷體"/>
          <w:sz w:val="28"/>
          <w:szCs w:val="28"/>
        </w:rPr>
        <w:t>全球</w:t>
      </w:r>
      <w:r>
        <w:rPr>
          <w:rFonts w:ascii="標楷體" w:eastAsia="標楷體" w:hAnsi="標楷體"/>
          <w:sz w:val="28"/>
          <w:szCs w:val="28"/>
        </w:rPr>
        <w:t>50</w:t>
      </w:r>
      <w:r>
        <w:rPr>
          <w:rFonts w:ascii="標楷體" w:eastAsia="標楷體" w:hAnsi="標楷體"/>
          <w:sz w:val="28"/>
          <w:szCs w:val="28"/>
        </w:rPr>
        <w:t>多個研究發現，某些類型的新聞報導會增加有自殺傾向者自殺的可能性，影響的程度和自殺報導的數量、持續報導的時間和報導所涵蓋的層面是相關的，當媒體描述自殺的方式的細節、使用聳動的標題或圖片、重複且廣泛的大篇幅刊登具有煽動性或美化自殺的報導，有增加個案自殺的風險，簡潔並小心的報導自殺，可以改變大眾對自殺的誤解並去除污名化，鼓勵有自殺傾向者尋求協助。</w:t>
      </w:r>
    </w:p>
    <w:tbl>
      <w:tblPr>
        <w:tblW w:w="9781" w:type="dxa"/>
        <w:tblInd w:w="108" w:type="dxa"/>
        <w:tblCellMar>
          <w:left w:w="10" w:type="dxa"/>
          <w:right w:w="10" w:type="dxa"/>
        </w:tblCellMar>
        <w:tblLook w:val="04A0" w:firstRow="1" w:lastRow="0" w:firstColumn="1" w:lastColumn="0" w:noHBand="0" w:noVBand="1"/>
      </w:tblPr>
      <w:tblGrid>
        <w:gridCol w:w="4395"/>
        <w:gridCol w:w="567"/>
        <w:gridCol w:w="4819"/>
      </w:tblGrid>
      <w:tr w:rsidR="00624F3D">
        <w:tblPrEx>
          <w:tblCellMar>
            <w:top w:w="0" w:type="dxa"/>
            <w:bottom w:w="0" w:type="dxa"/>
          </w:tblCellMar>
        </w:tblPrEx>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440" w:lineRule="exact"/>
              <w:rPr>
                <w:rFonts w:ascii="標楷體" w:eastAsia="標楷體" w:hAnsi="標楷體"/>
                <w:b/>
                <w:sz w:val="28"/>
                <w:szCs w:val="28"/>
              </w:rPr>
            </w:pPr>
            <w:r>
              <w:rPr>
                <w:rFonts w:ascii="標楷體" w:eastAsia="標楷體" w:hAnsi="標楷體"/>
                <w:b/>
                <w:sz w:val="28"/>
                <w:szCs w:val="28"/>
              </w:rPr>
              <w:t>將這種方式</w:t>
            </w:r>
            <w:r>
              <w:rPr>
                <w:rFonts w:ascii="標楷體" w:eastAsia="標楷體" w:hAnsi="標楷體"/>
                <w:b/>
                <w:sz w:val="28"/>
                <w:szCs w:val="28"/>
              </w:rPr>
              <w:t>(8</w:t>
            </w:r>
            <w:r>
              <w:rPr>
                <w:rFonts w:ascii="標楷體" w:eastAsia="標楷體" w:hAnsi="標楷體"/>
                <w:b/>
                <w:sz w:val="28"/>
                <w:szCs w:val="28"/>
              </w:rPr>
              <w:t>不</w:t>
            </w:r>
            <w:r>
              <w:rPr>
                <w:rFonts w:ascii="標楷體" w:eastAsia="標楷體" w:hAnsi="標楷體"/>
                <w:b/>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624F3D">
            <w:pPr>
              <w:spacing w:line="440" w:lineRule="exact"/>
              <w:rPr>
                <w:rFonts w:ascii="標楷體" w:eastAsia="標楷體" w:hAnsi="標楷體"/>
                <w:b/>
                <w:sz w:val="28"/>
                <w:szCs w:val="2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440" w:lineRule="exact"/>
              <w:rPr>
                <w:rFonts w:ascii="標楷體" w:eastAsia="標楷體" w:hAnsi="標楷體"/>
                <w:b/>
                <w:sz w:val="28"/>
                <w:szCs w:val="28"/>
              </w:rPr>
            </w:pPr>
            <w:r>
              <w:rPr>
                <w:rFonts w:ascii="標楷體" w:eastAsia="標楷體" w:hAnsi="標楷體"/>
                <w:b/>
                <w:sz w:val="28"/>
                <w:szCs w:val="28"/>
              </w:rPr>
              <w:t>改為這種方式</w:t>
            </w:r>
            <w:r>
              <w:rPr>
                <w:rFonts w:ascii="標楷體" w:eastAsia="標楷體" w:hAnsi="標楷體"/>
                <w:b/>
                <w:sz w:val="28"/>
                <w:szCs w:val="28"/>
              </w:rPr>
              <w:t>(8</w:t>
            </w:r>
            <w:r>
              <w:rPr>
                <w:rFonts w:ascii="標楷體" w:eastAsia="標楷體" w:hAnsi="標楷體"/>
                <w:b/>
                <w:sz w:val="28"/>
                <w:szCs w:val="28"/>
              </w:rPr>
              <w:t>要</w:t>
            </w:r>
            <w:r>
              <w:rPr>
                <w:rFonts w:ascii="標楷體" w:eastAsia="標楷體" w:hAnsi="標楷體"/>
                <w:b/>
                <w:sz w:val="28"/>
                <w:szCs w:val="28"/>
              </w:rPr>
              <w:t>)</w:t>
            </w:r>
          </w:p>
        </w:tc>
      </w:tr>
      <w:tr w:rsidR="00624F3D">
        <w:tblPrEx>
          <w:tblCellMar>
            <w:top w:w="0" w:type="dxa"/>
            <w:bottom w:w="0" w:type="dxa"/>
          </w:tblCellMar>
        </w:tblPrEx>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使用具有聳動性或醒目的報導標題</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b/>
                <w:sz w:val="28"/>
                <w:szCs w:val="28"/>
              </w:rPr>
            </w:pPr>
            <w:r>
              <w:rPr>
                <w:rFonts w:ascii="標楷體" w:eastAsia="標楷體" w:hAnsi="標楷體"/>
                <w:b/>
                <w:sz w:val="28"/>
                <w:szCs w:val="28"/>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不用煽動性的方式報導，將篇幅最小化</w:t>
            </w:r>
          </w:p>
        </w:tc>
      </w:tr>
      <w:tr w:rsidR="00624F3D">
        <w:tblPrEx>
          <w:tblCellMar>
            <w:top w:w="0" w:type="dxa"/>
            <w:bottom w:w="0" w:type="dxa"/>
          </w:tblCellMar>
        </w:tblPrEx>
        <w:trPr>
          <w:trHeight w:val="797"/>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包含自殺方式、地點、葬禮、親朋好友悲傷中的相片</w:t>
            </w:r>
            <w:r>
              <w:rPr>
                <w:rFonts w:ascii="標楷體" w:eastAsia="標楷體" w:hAnsi="標楷體"/>
                <w:sz w:val="28"/>
                <w:szCs w:val="28"/>
              </w:rPr>
              <w:t>/</w:t>
            </w:r>
            <w:r>
              <w:rPr>
                <w:rFonts w:ascii="標楷體" w:eastAsia="標楷體" w:hAnsi="標楷體"/>
                <w:sz w:val="28"/>
                <w:szCs w:val="28"/>
              </w:rPr>
              <w:t>影片</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b/>
                <w:sz w:val="28"/>
                <w:szCs w:val="28"/>
              </w:rPr>
            </w:pPr>
            <w:r>
              <w:rPr>
                <w:rFonts w:ascii="標楷體" w:eastAsia="標楷體" w:hAnsi="標楷體"/>
                <w:b/>
                <w:sz w:val="28"/>
                <w:szCs w:val="28"/>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改為學校</w:t>
            </w:r>
            <w:r>
              <w:rPr>
                <w:rFonts w:ascii="標楷體" w:eastAsia="標楷體" w:hAnsi="標楷體"/>
                <w:sz w:val="28"/>
                <w:szCs w:val="28"/>
              </w:rPr>
              <w:t>/</w:t>
            </w:r>
            <w:r>
              <w:rPr>
                <w:rFonts w:ascii="標楷體" w:eastAsia="標楷體" w:hAnsi="標楷體"/>
                <w:sz w:val="28"/>
                <w:szCs w:val="28"/>
              </w:rPr>
              <w:t>工作或家庭照，並提供求助專線</w:t>
            </w:r>
          </w:p>
        </w:tc>
      </w:tr>
      <w:tr w:rsidR="00624F3D">
        <w:tblPrEx>
          <w:tblCellMar>
            <w:top w:w="0" w:type="dxa"/>
            <w:bottom w:w="0" w:type="dxa"/>
          </w:tblCellMar>
        </w:tblPrEx>
        <w:trPr>
          <w:trHeight w:val="838"/>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以「流行性」「暴漲」等強烈詞語描述自殺數據</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b/>
                <w:sz w:val="28"/>
                <w:szCs w:val="28"/>
              </w:rPr>
            </w:pPr>
            <w:r>
              <w:rPr>
                <w:rFonts w:ascii="標楷體" w:eastAsia="標楷體" w:hAnsi="標楷體"/>
                <w:b/>
                <w:sz w:val="28"/>
                <w:szCs w:val="28"/>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留意最新數據，使用「上升」「較高」等不具煽動性的詞語</w:t>
            </w:r>
          </w:p>
        </w:tc>
      </w:tr>
      <w:tr w:rsidR="00624F3D">
        <w:tblPrEx>
          <w:tblCellMar>
            <w:top w:w="0" w:type="dxa"/>
            <w:bottom w:w="0" w:type="dxa"/>
          </w:tblCellMar>
        </w:tblPrEx>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將自殺形容為「無緣無故的」或「沒有徵兆的」</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b/>
                <w:sz w:val="28"/>
                <w:szCs w:val="28"/>
              </w:rPr>
            </w:pPr>
            <w:r>
              <w:rPr>
                <w:rFonts w:ascii="標楷體" w:eastAsia="標楷體" w:hAnsi="標楷體"/>
                <w:b/>
                <w:sz w:val="28"/>
                <w:szCs w:val="28"/>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大部份自殺者生前都會發出警訊，盡可能指出相關的警訊和處理方式</w:t>
            </w:r>
          </w:p>
        </w:tc>
      </w:tr>
      <w:tr w:rsidR="00624F3D">
        <w:tblPrEx>
          <w:tblCellMar>
            <w:top w:w="0" w:type="dxa"/>
            <w:bottom w:w="0" w:type="dxa"/>
          </w:tblCellMar>
        </w:tblPrEx>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「某某某的遺書中表示</w:t>
            </w:r>
            <w:r>
              <w:rPr>
                <w:rFonts w:ascii="標楷體" w:eastAsia="標楷體" w:hAnsi="標楷體"/>
                <w:sz w:val="28"/>
                <w:szCs w:val="28"/>
              </w:rPr>
              <w:t>…</w:t>
            </w:r>
            <w:r>
              <w:rPr>
                <w:rFonts w:ascii="標楷體" w:eastAsia="標楷體" w:hAnsi="標楷體"/>
                <w:sz w:val="28"/>
                <w:szCs w:val="28"/>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b/>
                <w:sz w:val="28"/>
                <w:szCs w:val="28"/>
              </w:rPr>
            </w:pPr>
            <w:r>
              <w:rPr>
                <w:rFonts w:ascii="標楷體" w:eastAsia="標楷體" w:hAnsi="標楷體"/>
                <w:b/>
                <w:sz w:val="28"/>
                <w:szCs w:val="28"/>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「發現自殺者的遺書，並正由警消調查中」</w:t>
            </w:r>
          </w:p>
        </w:tc>
      </w:tr>
      <w:tr w:rsidR="00624F3D">
        <w:tblPrEx>
          <w:tblCellMar>
            <w:top w:w="0" w:type="dxa"/>
            <w:bottom w:w="0" w:type="dxa"/>
          </w:tblCellMar>
        </w:tblPrEx>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以調查</w:t>
            </w:r>
            <w:r>
              <w:rPr>
                <w:rFonts w:ascii="標楷體" w:eastAsia="標楷體" w:hAnsi="標楷體"/>
                <w:sz w:val="28"/>
                <w:szCs w:val="28"/>
              </w:rPr>
              <w:t>/</w:t>
            </w:r>
            <w:r>
              <w:rPr>
                <w:rFonts w:ascii="標楷體" w:eastAsia="標楷體" w:hAnsi="標楷體"/>
                <w:sz w:val="28"/>
                <w:szCs w:val="28"/>
              </w:rPr>
              <w:t>報導犯罪事件的方式處理自殺報導</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b/>
                <w:sz w:val="28"/>
                <w:szCs w:val="28"/>
              </w:rPr>
            </w:pPr>
            <w:r>
              <w:rPr>
                <w:rFonts w:ascii="標楷體" w:eastAsia="標楷體" w:hAnsi="標楷體"/>
                <w:b/>
                <w:sz w:val="28"/>
                <w:szCs w:val="28"/>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以公共健康問題的方式報導自殺事件</w:t>
            </w:r>
          </w:p>
        </w:tc>
      </w:tr>
      <w:tr w:rsidR="00624F3D">
        <w:tblPrEx>
          <w:tblCellMar>
            <w:top w:w="0" w:type="dxa"/>
            <w:bottom w:w="0" w:type="dxa"/>
          </w:tblCellMar>
        </w:tblPrEx>
        <w:trPr>
          <w:trHeight w:val="538"/>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引用</w:t>
            </w:r>
            <w:r>
              <w:rPr>
                <w:rFonts w:ascii="標楷體" w:eastAsia="標楷體" w:hAnsi="標楷體"/>
                <w:sz w:val="28"/>
                <w:szCs w:val="28"/>
              </w:rPr>
              <w:t>/</w:t>
            </w:r>
            <w:r>
              <w:rPr>
                <w:rFonts w:ascii="標楷體" w:eastAsia="標楷體" w:hAnsi="標楷體"/>
                <w:sz w:val="28"/>
                <w:szCs w:val="28"/>
              </w:rPr>
              <w:t>訪問警消人員自殺原因</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b/>
                <w:sz w:val="28"/>
                <w:szCs w:val="28"/>
              </w:rPr>
            </w:pPr>
            <w:r>
              <w:rPr>
                <w:rFonts w:ascii="標楷體" w:eastAsia="標楷體" w:hAnsi="標楷體"/>
                <w:b/>
                <w:sz w:val="28"/>
                <w:szCs w:val="28"/>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向自殺防治專家尋求建議</w:t>
            </w:r>
          </w:p>
        </w:tc>
      </w:tr>
      <w:tr w:rsidR="00624F3D">
        <w:tblPrEx>
          <w:tblCellMar>
            <w:top w:w="0" w:type="dxa"/>
            <w:bottom w:w="0" w:type="dxa"/>
          </w:tblCellMar>
        </w:tblPrEx>
        <w:trPr>
          <w:trHeight w:val="789"/>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以「成功」「不成功」「嘗試自殺失敗」等字眼報導自殺</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b/>
                <w:sz w:val="28"/>
                <w:szCs w:val="28"/>
              </w:rPr>
            </w:pPr>
            <w:r>
              <w:rPr>
                <w:rFonts w:ascii="標楷體" w:eastAsia="標楷體" w:hAnsi="標楷體"/>
                <w:b/>
                <w:sz w:val="28"/>
                <w:szCs w:val="28"/>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4F3D" w:rsidRDefault="00433D84">
            <w:pPr>
              <w:spacing w:line="360" w:lineRule="exact"/>
              <w:rPr>
                <w:rFonts w:ascii="標楷體" w:eastAsia="標楷體" w:hAnsi="標楷體"/>
                <w:sz w:val="28"/>
                <w:szCs w:val="28"/>
              </w:rPr>
            </w:pPr>
            <w:r>
              <w:rPr>
                <w:rFonts w:ascii="標楷體" w:eastAsia="標楷體" w:hAnsi="標楷體"/>
                <w:sz w:val="28"/>
                <w:szCs w:val="28"/>
              </w:rPr>
              <w:t>以「自殺身亡」「自殺死亡」或「自殺」等字眼報導自殺</w:t>
            </w:r>
          </w:p>
        </w:tc>
      </w:tr>
    </w:tbl>
    <w:p w:rsidR="00624F3D" w:rsidRDefault="00624F3D">
      <w:pPr>
        <w:autoSpaceDE w:val="0"/>
        <w:spacing w:line="440" w:lineRule="exact"/>
        <w:rPr>
          <w:rFonts w:ascii="標楷體" w:eastAsia="標楷體" w:hAnsi="標楷體"/>
          <w:b/>
          <w:sz w:val="32"/>
          <w:szCs w:val="32"/>
        </w:rPr>
      </w:pPr>
    </w:p>
    <w:p w:rsidR="00624F3D" w:rsidRDefault="00433D84">
      <w:pPr>
        <w:autoSpaceDE w:val="0"/>
        <w:spacing w:line="440" w:lineRule="exact"/>
        <w:rPr>
          <w:rFonts w:ascii="標楷體" w:eastAsia="標楷體" w:hAnsi="標楷體"/>
          <w:b/>
          <w:sz w:val="32"/>
          <w:szCs w:val="32"/>
        </w:rPr>
      </w:pPr>
      <w:r>
        <w:rPr>
          <w:rFonts w:ascii="標楷體" w:eastAsia="標楷體" w:hAnsi="標楷體"/>
          <w:b/>
          <w:sz w:val="32"/>
          <w:szCs w:val="32"/>
        </w:rPr>
        <w:t>貳、避免誤導並給予希望</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自殺是複雜的，是多重因素造成的，因素包括未經治療的精神疾病，而這些疾病是可以被治療的。</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引用研究結果，</w:t>
      </w:r>
      <w:r>
        <w:rPr>
          <w:rFonts w:ascii="標楷體" w:eastAsia="標楷體" w:hAnsi="標楷體"/>
          <w:sz w:val="28"/>
          <w:szCs w:val="28"/>
        </w:rPr>
        <w:t>90%</w:t>
      </w:r>
      <w:r>
        <w:rPr>
          <w:rFonts w:ascii="標楷體" w:eastAsia="標楷體" w:hAnsi="標楷體"/>
          <w:sz w:val="28"/>
          <w:szCs w:val="28"/>
        </w:rPr>
        <w:t>的自殺身亡者有心理疾病或物質濫用的問題。</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避免用單一事件解釋自殺原因，如近期失業、離婚或成績低落。類似這樣的報導會誤導民眾，將自殺過度簡單化。</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報導自殺原因和處遇時，考慮引用自殺防治專家，並避免以煽動性的方式呈現。</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以自己的故事告知讀者自殺的因素、警訊、自殺率的趨勢和目前治療方式的</w:t>
      </w:r>
      <w:r>
        <w:rPr>
          <w:rFonts w:ascii="標楷體" w:eastAsia="標楷體" w:hAnsi="標楷體"/>
          <w:sz w:val="28"/>
          <w:szCs w:val="28"/>
        </w:rPr>
        <w:lastRenderedPageBreak/>
        <w:t>的改善。</w:t>
      </w:r>
    </w:p>
    <w:p w:rsidR="00624F3D" w:rsidRDefault="00433D84">
      <w:pPr>
        <w:pStyle w:val="a7"/>
        <w:numPr>
          <w:ilvl w:val="0"/>
          <w:numId w:val="1"/>
        </w:numPr>
        <w:autoSpaceDE w:val="0"/>
        <w:spacing w:line="400" w:lineRule="exact"/>
      </w:pPr>
      <w:r>
        <w:rPr>
          <w:rFonts w:ascii="標楷體" w:eastAsia="標楷體" w:hAnsi="標楷體"/>
          <w:sz w:val="28"/>
          <w:szCs w:val="28"/>
        </w:rPr>
        <w:t>提供多種治療方式、如何克服自殺低潮的故事與求助資源。</w:t>
      </w:r>
    </w:p>
    <w:p w:rsidR="00624F3D" w:rsidRDefault="00433D84">
      <w:pPr>
        <w:pStyle w:val="a7"/>
        <w:numPr>
          <w:ilvl w:val="0"/>
          <w:numId w:val="1"/>
        </w:numPr>
        <w:autoSpaceDE w:val="0"/>
        <w:spacing w:line="400" w:lineRule="exact"/>
      </w:pPr>
      <w:r>
        <w:rPr>
          <w:rFonts w:ascii="標楷體" w:eastAsia="標楷體" w:hAnsi="標楷體"/>
          <w:sz w:val="28"/>
          <w:szCs w:val="28"/>
        </w:rPr>
        <w:t>提供最新的地方</w:t>
      </w:r>
      <w:r>
        <w:rPr>
          <w:rFonts w:ascii="標楷體" w:eastAsia="標楷體" w:hAnsi="標楷體"/>
          <w:sz w:val="28"/>
          <w:szCs w:val="28"/>
        </w:rPr>
        <w:t>/</w:t>
      </w:r>
      <w:r>
        <w:rPr>
          <w:rFonts w:ascii="標楷體" w:eastAsia="標楷體" w:hAnsi="標楷體"/>
          <w:sz w:val="28"/>
          <w:szCs w:val="28"/>
        </w:rPr>
        <w:t>全國資源，使讀者可以找到求助機構，得到鼓勵求助的信息和建議。</w:t>
      </w:r>
    </w:p>
    <w:p w:rsidR="00624F3D" w:rsidRDefault="00624F3D">
      <w:pPr>
        <w:autoSpaceDE w:val="0"/>
        <w:spacing w:line="400" w:lineRule="exact"/>
        <w:rPr>
          <w:rFonts w:ascii="標楷體" w:eastAsia="標楷體" w:hAnsi="標楷體"/>
          <w:b/>
          <w:sz w:val="28"/>
          <w:szCs w:val="28"/>
        </w:rPr>
      </w:pPr>
    </w:p>
    <w:p w:rsidR="00624F3D" w:rsidRDefault="00433D84">
      <w:pPr>
        <w:autoSpaceDE w:val="0"/>
        <w:spacing w:line="440" w:lineRule="exact"/>
        <w:rPr>
          <w:rFonts w:ascii="標楷體" w:eastAsia="標楷體" w:hAnsi="標楷體"/>
          <w:b/>
          <w:sz w:val="28"/>
          <w:szCs w:val="28"/>
        </w:rPr>
      </w:pPr>
      <w:r>
        <w:rPr>
          <w:rFonts w:ascii="標楷體" w:eastAsia="標楷體" w:hAnsi="標楷體"/>
          <w:b/>
          <w:sz w:val="28"/>
          <w:szCs w:val="28"/>
        </w:rPr>
        <w:t>參、給網絡媒體、留言板、部落格和公民記者的建議</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部落格、公民記者和公眾評論者可以提供求助資源連結以協助減少自殺的模仿效應。</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報導希望和康復的故事，提供克服自殺想法和增進抗壓能力的方式。</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網路上的報導，照片</w:t>
      </w:r>
      <w:r>
        <w:rPr>
          <w:rFonts w:ascii="標楷體" w:eastAsia="標楷體" w:hAnsi="標楷體"/>
          <w:sz w:val="28"/>
          <w:szCs w:val="28"/>
        </w:rPr>
        <w:t>/</w:t>
      </w:r>
      <w:r>
        <w:rPr>
          <w:rFonts w:ascii="標楷體" w:eastAsia="標楷體" w:hAnsi="標楷體"/>
          <w:sz w:val="28"/>
          <w:szCs w:val="28"/>
        </w:rPr>
        <w:t>影片和故事都可能成為熱門的話題，因此網路自殺報導遵循規範是相當重要的。</w:t>
      </w:r>
    </w:p>
    <w:p w:rsidR="00624F3D" w:rsidRDefault="00433D84">
      <w:pPr>
        <w:pStyle w:val="a7"/>
        <w:numPr>
          <w:ilvl w:val="0"/>
          <w:numId w:val="1"/>
        </w:numPr>
        <w:autoSpaceDE w:val="0"/>
        <w:spacing w:line="400" w:lineRule="exact"/>
        <w:ind w:left="482" w:hanging="482"/>
      </w:pPr>
      <w:r>
        <w:rPr>
          <w:rFonts w:ascii="標楷體" w:eastAsia="標楷體" w:hAnsi="標楷體"/>
          <w:sz w:val="28"/>
          <w:szCs w:val="28"/>
        </w:rPr>
        <w:t>社群網站往往成為紀念死者</w:t>
      </w:r>
      <w:r>
        <w:rPr>
          <w:rFonts w:ascii="標楷體" w:eastAsia="標楷體" w:hAnsi="標楷體"/>
          <w:sz w:val="28"/>
          <w:szCs w:val="28"/>
        </w:rPr>
        <w:t>的地方，因此需要查看是否有攻擊性的言論或有自殺意念的人，並在留言板中有可以移除不適當留言的使用條款、政策和程序。</w:t>
      </w:r>
    </w:p>
    <w:p w:rsidR="00624F3D" w:rsidRDefault="00624F3D">
      <w:pPr>
        <w:spacing w:line="440" w:lineRule="exact"/>
        <w:rPr>
          <w:rFonts w:ascii="標楷體" w:eastAsia="標楷體" w:hAnsi="標楷體"/>
          <w:b/>
          <w:sz w:val="32"/>
          <w:szCs w:val="32"/>
        </w:rPr>
      </w:pPr>
    </w:p>
    <w:p w:rsidR="00624F3D" w:rsidRDefault="00433D84">
      <w:pPr>
        <w:spacing w:line="440" w:lineRule="exact"/>
        <w:rPr>
          <w:rFonts w:ascii="標楷體" w:eastAsia="標楷體" w:hAnsi="標楷體"/>
          <w:b/>
          <w:sz w:val="32"/>
          <w:szCs w:val="32"/>
        </w:rPr>
      </w:pPr>
      <w:r>
        <w:rPr>
          <w:rFonts w:ascii="標楷體" w:eastAsia="標楷體" w:hAnsi="標楷體"/>
          <w:b/>
          <w:sz w:val="32"/>
          <w:szCs w:val="32"/>
        </w:rPr>
        <w:t>肆、自殺警訊</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提到有自殺想法。</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找尋自殺方式。</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提到感到沒有希望或人生沒有目標。</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提到感到被困住或承受無法忍受的痛苦。</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提到變成他人的負擔。</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酒或藥物使用增加。</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表現焦慮，不安或不計後果。</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睡眠太少或太多。</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遠離人群或感到被孤立。</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表現出憤怒或提到要尋求報復。</w:t>
      </w:r>
    </w:p>
    <w:p w:rsidR="00624F3D" w:rsidRDefault="00433D84">
      <w:pPr>
        <w:pStyle w:val="a7"/>
        <w:numPr>
          <w:ilvl w:val="0"/>
          <w:numId w:val="1"/>
        </w:numPr>
        <w:autoSpaceDE w:val="0"/>
        <w:spacing w:line="400" w:lineRule="exact"/>
        <w:rPr>
          <w:rFonts w:ascii="標楷體" w:eastAsia="標楷體" w:hAnsi="標楷體"/>
          <w:sz w:val="28"/>
          <w:szCs w:val="28"/>
        </w:rPr>
      </w:pPr>
      <w:r>
        <w:rPr>
          <w:rFonts w:ascii="標楷體" w:eastAsia="標楷體" w:hAnsi="標楷體"/>
          <w:sz w:val="28"/>
          <w:szCs w:val="28"/>
        </w:rPr>
        <w:t>表現出極端的情緒變化。</w:t>
      </w:r>
    </w:p>
    <w:p w:rsidR="00624F3D" w:rsidRDefault="00433D84">
      <w:pPr>
        <w:autoSpaceDE w:val="0"/>
        <w:spacing w:line="400" w:lineRule="exact"/>
        <w:rPr>
          <w:rFonts w:ascii="標楷體" w:eastAsia="標楷體" w:hAnsi="標楷體" w:cs="Gotham-Bold"/>
          <w:bCs/>
          <w:kern w:val="0"/>
          <w:sz w:val="28"/>
          <w:szCs w:val="28"/>
        </w:rPr>
      </w:pPr>
      <w:r>
        <w:rPr>
          <w:rFonts w:ascii="標楷體" w:eastAsia="標楷體" w:hAnsi="標楷體" w:cs="Gotham-Bold"/>
          <w:bCs/>
          <w:kern w:val="0"/>
          <w:sz w:val="28"/>
          <w:szCs w:val="28"/>
        </w:rPr>
        <w:t>一個人出現越多的警訊，自殺風險越高。</w:t>
      </w:r>
    </w:p>
    <w:p w:rsidR="00624F3D" w:rsidRDefault="00433D84">
      <w:pPr>
        <w:autoSpaceDE w:val="0"/>
        <w:spacing w:line="400" w:lineRule="exact"/>
      </w:pPr>
      <w:r>
        <w:rPr>
          <w:rFonts w:ascii="標楷體" w:eastAsia="標楷體" w:hAnsi="標楷體" w:cs="Gotham-Bold"/>
          <w:bCs/>
          <w:kern w:val="0"/>
          <w:sz w:val="28"/>
          <w:szCs w:val="28"/>
        </w:rPr>
        <w:t>自殺警訊和自殺行為是相關的，但不一定是自殺的原因。</w:t>
      </w:r>
    </w:p>
    <w:p w:rsidR="00624F3D" w:rsidRDefault="00624F3D">
      <w:pPr>
        <w:spacing w:line="440" w:lineRule="exact"/>
        <w:rPr>
          <w:rFonts w:ascii="標楷體" w:eastAsia="標楷體" w:hAnsi="標楷體"/>
          <w:b/>
          <w:sz w:val="32"/>
          <w:szCs w:val="32"/>
        </w:rPr>
      </w:pPr>
    </w:p>
    <w:p w:rsidR="00624F3D" w:rsidRDefault="00433D84">
      <w:pPr>
        <w:spacing w:line="440" w:lineRule="exact"/>
        <w:rPr>
          <w:rFonts w:ascii="標楷體" w:eastAsia="標楷體" w:hAnsi="標楷體"/>
          <w:b/>
          <w:sz w:val="32"/>
          <w:szCs w:val="32"/>
        </w:rPr>
      </w:pPr>
      <w:r>
        <w:rPr>
          <w:rFonts w:ascii="標楷體" w:eastAsia="標楷體" w:hAnsi="標楷體"/>
          <w:b/>
          <w:sz w:val="32"/>
          <w:szCs w:val="32"/>
        </w:rPr>
        <w:t>伍、如何幫助有上述自殺警訊者</w:t>
      </w:r>
    </w:p>
    <w:p w:rsidR="00624F3D" w:rsidRDefault="00433D84">
      <w:pPr>
        <w:autoSpaceDE w:val="0"/>
        <w:spacing w:line="400" w:lineRule="exact"/>
        <w:rPr>
          <w:rFonts w:ascii="標楷體" w:eastAsia="標楷體" w:hAnsi="標楷體"/>
          <w:sz w:val="28"/>
          <w:szCs w:val="28"/>
        </w:rPr>
      </w:pPr>
      <w:r>
        <w:rPr>
          <w:rFonts w:ascii="標楷體" w:eastAsia="標楷體" w:hAnsi="標楷體"/>
          <w:sz w:val="28"/>
          <w:szCs w:val="28"/>
        </w:rPr>
        <w:t>若您週遭的人出現自殺警訊：</w:t>
      </w:r>
    </w:p>
    <w:p w:rsidR="00624F3D" w:rsidRDefault="00433D84">
      <w:pPr>
        <w:pStyle w:val="a7"/>
        <w:numPr>
          <w:ilvl w:val="0"/>
          <w:numId w:val="2"/>
        </w:numPr>
        <w:autoSpaceDE w:val="0"/>
        <w:spacing w:line="400" w:lineRule="exact"/>
        <w:rPr>
          <w:rFonts w:ascii="標楷體" w:eastAsia="標楷體" w:hAnsi="標楷體"/>
          <w:sz w:val="28"/>
          <w:szCs w:val="28"/>
        </w:rPr>
      </w:pPr>
      <w:r>
        <w:rPr>
          <w:rFonts w:ascii="標楷體" w:eastAsia="標楷體" w:hAnsi="標楷體"/>
          <w:sz w:val="28"/>
          <w:szCs w:val="28"/>
        </w:rPr>
        <w:t>請不要讓他獨處。</w:t>
      </w:r>
    </w:p>
    <w:p w:rsidR="00624F3D" w:rsidRDefault="00433D84">
      <w:pPr>
        <w:pStyle w:val="a7"/>
        <w:numPr>
          <w:ilvl w:val="0"/>
          <w:numId w:val="2"/>
        </w:numPr>
        <w:autoSpaceDE w:val="0"/>
        <w:spacing w:line="400" w:lineRule="exact"/>
        <w:rPr>
          <w:rFonts w:ascii="標楷體" w:eastAsia="標楷體" w:hAnsi="標楷體"/>
          <w:sz w:val="28"/>
          <w:szCs w:val="28"/>
        </w:rPr>
      </w:pPr>
      <w:r>
        <w:rPr>
          <w:rFonts w:ascii="標楷體" w:eastAsia="標楷體" w:hAnsi="標楷體"/>
          <w:sz w:val="28"/>
          <w:szCs w:val="28"/>
        </w:rPr>
        <w:t>去除任何可能用於自殺的物品，如武器、酒精、藥物或尖銳物體。</w:t>
      </w:r>
    </w:p>
    <w:p w:rsidR="00624F3D" w:rsidRDefault="00433D84">
      <w:pPr>
        <w:pStyle w:val="a7"/>
        <w:numPr>
          <w:ilvl w:val="0"/>
          <w:numId w:val="2"/>
        </w:numPr>
        <w:autoSpaceDE w:val="0"/>
        <w:spacing w:line="400" w:lineRule="exact"/>
        <w:rPr>
          <w:rFonts w:ascii="標楷體" w:eastAsia="標楷體" w:hAnsi="標楷體"/>
          <w:sz w:val="28"/>
          <w:szCs w:val="28"/>
        </w:rPr>
      </w:pPr>
      <w:r>
        <w:rPr>
          <w:rFonts w:ascii="標楷體" w:eastAsia="標楷體" w:hAnsi="標楷體"/>
          <w:sz w:val="28"/>
          <w:szCs w:val="28"/>
        </w:rPr>
        <w:t>撥打求助電話</w:t>
      </w:r>
      <w:r>
        <w:rPr>
          <w:rFonts w:ascii="標楷體" w:eastAsia="標楷體" w:hAnsi="標楷體"/>
          <w:sz w:val="28"/>
          <w:szCs w:val="28"/>
        </w:rPr>
        <w:t>(</w:t>
      </w:r>
      <w:r>
        <w:rPr>
          <w:rFonts w:ascii="標楷體" w:eastAsia="標楷體" w:hAnsi="標楷體"/>
          <w:sz w:val="28"/>
          <w:szCs w:val="28"/>
        </w:rPr>
        <w:t>安心專線電話</w:t>
      </w:r>
      <w:r>
        <w:rPr>
          <w:rFonts w:ascii="標楷體" w:eastAsia="標楷體" w:hAnsi="標楷體"/>
          <w:sz w:val="28"/>
          <w:szCs w:val="28"/>
        </w:rPr>
        <w:t>1925</w:t>
      </w:r>
      <w:r>
        <w:rPr>
          <w:rFonts w:ascii="標楷體" w:eastAsia="標楷體" w:hAnsi="標楷體"/>
          <w:sz w:val="28"/>
          <w:szCs w:val="28"/>
        </w:rPr>
        <w:t>、生命線</w:t>
      </w:r>
      <w:r>
        <w:rPr>
          <w:rFonts w:ascii="標楷體" w:eastAsia="標楷體" w:hAnsi="標楷體"/>
          <w:sz w:val="28"/>
          <w:szCs w:val="28"/>
        </w:rPr>
        <w:t>1995</w:t>
      </w:r>
      <w:r>
        <w:rPr>
          <w:rFonts w:ascii="標楷體" w:eastAsia="標楷體" w:hAnsi="標楷體"/>
          <w:sz w:val="28"/>
          <w:szCs w:val="28"/>
        </w:rPr>
        <w:t>及張老師</w:t>
      </w:r>
      <w:r>
        <w:rPr>
          <w:rFonts w:ascii="標楷體" w:eastAsia="標楷體" w:hAnsi="標楷體"/>
          <w:sz w:val="28"/>
          <w:szCs w:val="28"/>
        </w:rPr>
        <w:t>1980)</w:t>
      </w:r>
      <w:r>
        <w:rPr>
          <w:rFonts w:ascii="標楷體" w:eastAsia="標楷體" w:hAnsi="標楷體"/>
          <w:sz w:val="28"/>
          <w:szCs w:val="28"/>
        </w:rPr>
        <w:t>。</w:t>
      </w:r>
    </w:p>
    <w:p w:rsidR="00624F3D" w:rsidRDefault="00433D84">
      <w:pPr>
        <w:pStyle w:val="a7"/>
        <w:numPr>
          <w:ilvl w:val="0"/>
          <w:numId w:val="2"/>
        </w:numPr>
        <w:autoSpaceDE w:val="0"/>
        <w:spacing w:line="400" w:lineRule="exact"/>
      </w:pPr>
      <w:r>
        <w:rPr>
          <w:rFonts w:ascii="標楷體" w:eastAsia="標楷體" w:hAnsi="標楷體"/>
          <w:sz w:val="28"/>
          <w:szCs w:val="28"/>
        </w:rPr>
        <w:t>帶他到門診尋求醫療或精神科專業人士的協助。</w:t>
      </w:r>
    </w:p>
    <w:sectPr w:rsidR="00624F3D">
      <w:footerReference w:type="default" r:id="rId7"/>
      <w:pgSz w:w="11906" w:h="16838"/>
      <w:pgMar w:top="680" w:right="1077" w:bottom="680" w:left="1077" w:header="851" w:footer="992" w:gutter="0"/>
      <w:cols w:space="720"/>
      <w:docGrid w:type="lines" w:linePitch="35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D84" w:rsidRDefault="00433D84">
      <w:r>
        <w:separator/>
      </w:r>
    </w:p>
  </w:endnote>
  <w:endnote w:type="continuationSeparator" w:id="0">
    <w:p w:rsidR="00433D84" w:rsidRDefault="0043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otham-Bold">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0EE" w:rsidRDefault="00433D84">
    <w:pPr>
      <w:pStyle w:val="a5"/>
      <w:jc w:val="center"/>
    </w:pPr>
    <w:r>
      <w:rPr>
        <w:lang w:val="zh-TW"/>
      </w:rPr>
      <w:fldChar w:fldCharType="begin"/>
    </w:r>
    <w:r>
      <w:rPr>
        <w:lang w:val="zh-TW"/>
      </w:rPr>
      <w:instrText xml:space="preserve"> PAGE </w:instrText>
    </w:r>
    <w:r>
      <w:rPr>
        <w:lang w:val="zh-TW"/>
      </w:rPr>
      <w:fldChar w:fldCharType="separate"/>
    </w:r>
    <w:r w:rsidR="00117C6C">
      <w:rPr>
        <w:noProof/>
        <w:lang w:val="zh-TW"/>
      </w:rPr>
      <w:t>1</w:t>
    </w:r>
    <w:r>
      <w:rPr>
        <w:lang w:val="zh-TW"/>
      </w:rPr>
      <w:fldChar w:fldCharType="end"/>
    </w:r>
  </w:p>
  <w:p w:rsidR="00B670EE" w:rsidRDefault="00433D8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D84" w:rsidRDefault="00433D84">
      <w:r>
        <w:rPr>
          <w:color w:val="000000"/>
        </w:rPr>
        <w:separator/>
      </w:r>
    </w:p>
  </w:footnote>
  <w:footnote w:type="continuationSeparator" w:id="0">
    <w:p w:rsidR="00433D84" w:rsidRDefault="00433D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C0117"/>
    <w:multiLevelType w:val="multilevel"/>
    <w:tmpl w:val="F45055D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372C4204"/>
    <w:multiLevelType w:val="multilevel"/>
    <w:tmpl w:val="950C8DC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624F3D"/>
    <w:rsid w:val="00117C6C"/>
    <w:rsid w:val="00433D84"/>
    <w:rsid w:val="00624F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5AD14E-9DED-481B-BAC2-1DC128AF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paragraph" w:styleId="a8">
    <w:name w:val="Balloon Text"/>
    <w:basedOn w:val="a"/>
    <w:rPr>
      <w:rFonts w:ascii="Cambria" w:hAnsi="Cambria"/>
      <w:sz w:val="18"/>
      <w:szCs w:val="18"/>
    </w:rPr>
  </w:style>
  <w:style w:type="character" w:customStyle="1" w:styleId="a9">
    <w:name w:val="註解方塊文字 字元"/>
    <w:basedOn w:val="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凃子崴</cp:lastModifiedBy>
  <cp:revision>2</cp:revision>
  <cp:lastPrinted>2015-02-16T02:04:00Z</cp:lastPrinted>
  <dcterms:created xsi:type="dcterms:W3CDTF">2026-01-31T05:43:00Z</dcterms:created>
  <dcterms:modified xsi:type="dcterms:W3CDTF">2026-01-31T05:43:00Z</dcterms:modified>
</cp:coreProperties>
</file>